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sz w:val="44"/>
        </w:rPr>
      </w:pPr>
      <w:bookmarkStart w:id="0" w:name="标题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60" w:firstLineChars="50"/>
        <w:textAlignment w:val="auto"/>
        <w:rPr>
          <w:rFonts w:hint="eastAsia" w:ascii="仿宋_GB2312" w:hAnsi="华文仿宋" w:eastAsia="仿宋_GB2312"/>
          <w:sz w:val="32"/>
        </w:rPr>
      </w:pPr>
      <w:bookmarkStart w:id="1" w:name="缓急"/>
      <w:bookmarkEnd w:id="1"/>
      <w:r>
        <w:rPr>
          <w:rFonts w:hint="eastAsia" w:ascii="仿宋_GB2312" w:hAnsi="华文仿宋" w:eastAsia="仿宋_GB2312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内蒙古自治区人民政府关于印发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自治区“人工智能+”行动实施方案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（2026—2028年）的通知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160" w:firstLineChars="5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内政发〔2026〕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2" w:name="OLE_LINK1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现将《内蒙古自治区“人工智能+”行动实施方案（2026—2028年）》印发给你们，请结合实际，认真贯彻落实。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2026年3月30日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（此件公开发布）</w:t>
      </w: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内蒙古自治区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人工智能+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实施方案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—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2028年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为深入贯彻《国务院关于深入实施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人工智能+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行动的意见》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国发〔2025〕11号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）精神，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加速形成新质生产力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赋能自治区经济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社会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高质量发展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结合自治区实际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坚持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以习近平新时代中国特色社会主义思想为指导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全面贯彻落实党的二十大和二十届历次全会精神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铸牢中华民族共同体意识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主线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充分发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32"/>
          <w:szCs w:val="32"/>
        </w:rPr>
        <w:t>挥自治区算力规模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领先、产业基础雄厚、应用场景丰富等优势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以科技、产业、消费、民生、治理、合作</w:t>
      </w:r>
      <w:r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</w:rPr>
        <w:t>等领域为重点</w:t>
      </w:r>
      <w:r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</w:rPr>
        <w:t>推动人工智能与经济社会各行业领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域广泛深度融合。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到2028年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人工智能与各领域融合创新水平大幅提升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新一代智能终端、智能体在重点行业与民生领域的普及率不低于全国平均水平。开发落地一批行业大模型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重点培育6个以上行业大模型达到国内领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32"/>
          <w:szCs w:val="32"/>
        </w:rPr>
        <w:t>先水平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32"/>
          <w:szCs w:val="32"/>
        </w:rPr>
        <w:t>形成一批典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型应用场景与解决方案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建成服务全区的人工智能公共服务平台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为优势产业智能化转型提供核心支撑。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）“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人工智能+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科学技术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1.加强重点领域行业大模型攻关。运用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揭榜挂帅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等形式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引导各盟市立足资源禀赋与特色优势产业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开发落地行业大模型。支持呼和浩特市重点打造生物制造、乳业、草业大模型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包头市重点打造钢铁冶金、装备制造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稀土新材料大模型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鄂尔多斯市重点打造煤炭能源、现代煤化工、羊绒大模型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乌兰察布市重点打造铁合金大模型。其他盟市因地制宜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开发落地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特色行业大模型。遴选优质行业大模型项目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建立模型适配、复制、推广机制。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自治区科技厅、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政务服务与数据管理局，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各盟行政公署、市人民政府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以下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各项任务均需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各盟行政公署、市人民政府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落实，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不再单独列出）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2.打造多层次创新平台体系。积极创建人工智能领域的工程化创新中心、制造业创新中心、技术创新中心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重点实验室等创新载体。在现代农牧业、生态环境、装备制造、生物技术等领域建设自治区级人工智能创新平台。支持科研机构、高等院校和企业共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32"/>
          <w:szCs w:val="32"/>
        </w:rPr>
        <w:t>建人工智能技术创新联合体。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自治区科技厅、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政务服务与数据管理局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发展改革委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工业和信息化厅）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3.推动科研模式创新。加快推进人工智能驱动的科学研究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引导科研模式向数据密集、智能涌现、人机协同方向转变。深化数据规律挖掘、算法支撑及实验全链条智能化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建设一批标准统一、质量可靠的科技专题数据库与训练数据集。推动人工智能赋能哲学社会科学研究，发展中华民族共同体学、数字人文等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交叉学科，开展人工智能安全风险防范与治理等前沿探索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自治区科技厅、社会科学界联合会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，内蒙古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社会科学院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）“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人工智能+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产业发展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.助力新型能源体系建设。构建清洁低碳安全高效的新型能源体系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提升能源领域人工智能创新应用技术水平。在电力设备状态评价与智能运维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绿氢生产工艺智能寻优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场站智慧运营等自治区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32"/>
          <w:szCs w:val="32"/>
        </w:rPr>
        <w:t>能源产业发展的优势特色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支持打造具备自主感知、决策、执行能力的设备管理智能体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构建电解制氢—储氢—用氢全链条智能调控系统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推动新能源智能运维发展。支持数据中心负荷开展绿电直连。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自治区能源局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.推动制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</w:rPr>
        <w:t>造业焕新发展。推动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</w:rPr>
        <w:t>深度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嵌入研发设计、生产制造、运营管理等环节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促进制造业向智能化、绿色化、融合化发展。新材料方向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支持基于机器学习算法构建材料性能预测模型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优化材料成分设计与制备工艺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加速新材料筛选与性能优化。钢铁冶金方向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支持开展基于工业互联网的钢铁全流程智能制造、设备预测性维护、能耗智能优化和产品质量人工智能溯源。装备制造方向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支持开展智能风机、光伏组件、输变电设备的智能生产线改造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发展基于人工智能的故障诊断与远程运维服务。现代煤化工方向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推动生产工艺智能优化、设备健康管理和安全环保智能预警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提升资源利用效率和本质安全水平。生物医药方向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利用人工智能加速新型动物疫苗的毒株筛选、制剂配方优化和药效评估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提升兽药研发效率与产品质量。开展菌株性能预测、高活性菌种选育及发酵工艺优化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推动益生菌制品、酶制剂等产品的精准智造。乳制品加工方向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强化乳制品加工品控与智能溯源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提升产业智能化水平和产品附加值。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工业和信息化厅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发展改革委）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.提升农牧业综合生产能效。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加快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农牧业智慧化进程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支撑国家重要农畜产品生产基地建设。智慧育种方向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推动传统育种技术与人工智能深度融合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缩短牛羊、牧草、马铃薯等品种选育周期。种植业方向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支持粮食主产区推广应用人工智能实现主要粮油作物的智能灌溉、精准施肥播种、病虫害人工智能识别与预警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培育一批智慧农场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提升粮食单产水平。支持特色果蔬生产基地推广应用人工智能技术实现环境智能调控、水肥自动化管控和机械标准化生产。畜牧业方向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支持畜禽规模化养殖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推广应用智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</w:rPr>
        <w:t>能项圈、无人机巡牧、精准饲喂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系统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实现牲畜个体识别、行为监测、疫病早期诊断和繁殖管理智能化。农畜产品质量安全监管方向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优化完善自治区农畜产品质量安全大数据智慧监管与服务平台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推广应用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承诺达标合格证+追溯码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模式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探索建立农畜产品质量安全追溯体系。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自治区农牧厅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.促进服务业优质高效发展。现代金融方向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鼓励地方金融机构发展能源金融、碳汇金融、农牧信贷等特色风控模型。电子商务方向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支持满洲里、二连浩特口岸发展面向俄蒙市场的跨境人工智能直播电商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利用多语种人工智能主播、智能营销等技术扩大产品出口。专业服务方向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鼓励法律、会计、咨询等机构应用人工智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</w:rPr>
        <w:t>能提升服务效率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</w:rPr>
        <w:t>发展基于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人工智能的科技成果评价、技术交易匹配等新兴服务业态。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自治区商务厅、司法厅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内蒙古金融监管局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人民银行内蒙古自治区分行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）“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人工智能+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消费提质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.提高旅游服务质量和游客体验。旅游服务方向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支持应用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为游客提供个性化行程定制、多语种景点讲解、文化故事沉浸式导览服务。景区管理方向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强化人流热力监测预警与安全风险实时感知能力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优化景区人机交互。冰雪运动方向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加强人工智能设施设备在冰雪竞技项目训练中的运用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助力全区冰雪运动竞技水平提升。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文化和旅游厅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、体育局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.积极发展网络电商和数字消费。特色产品营销方向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支持电商平台运用人工智能画像分析技术精准定位消费需求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宣传推广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字标等区域公用品牌产品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构建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智能选品、精准推送、溯源直达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营销链。数字化沉浸式消费场景方向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培育智慧商店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融合区域特色元素开发沉浸式购物、智能导览、无感支付等新体验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建设内蒙古自治区非遗文化数字展馆。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自治区商务厅、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市场监管局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文化和旅游厅）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（四）“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人工智能+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民生福祉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.提升交通物流质效。自动驾驶方向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支持智能网联汽车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车路云能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一体化应用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重点推动自动驾驶公交、重卡等试点、场景建设。能源运输走廊调度方向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应用人工智能实现能源运输走廊信号智能控制与车辆协同调度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强化交通设施健康监测与事故精准预判能力。特色产品物流方向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构建覆盖特色农畜产品冷链、中蒙俄跨境电商的智能物流体系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实现仓储温湿度智能调控、运输路径动态优化、货物全程溯源。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自治区交通运输厅、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工业和信息化厅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、公安厅、商务厅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，内蒙古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邮政管理局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.推进全民健康数智化建设。重大疾病精准诊疗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方向，支持区内三甲医院建设智能辅助诊断平台，开展心脑血管、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肿瘤等重大疾病风险预测模型应用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通过电子病历深度挖掘实现诊疗方案个性化推送。基层常见病服务方向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推动旗县级医院及基层卫生院部署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</w:rPr>
        <w:t>人工智能辅助诊疗系统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</w:rPr>
        <w:t>覆盖高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血压、糖尿病等常见病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提供智能分诊建议与电子病历分析服务。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卫生健康委）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.推进教育数智化建设。智慧教学方向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创新智能备课、双师课堂、协同教研等新型教学范式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扩大优质教育资源全域覆盖。智慧学习方向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依托多模态智能感知与学情分析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打造虚拟学伴、数字导师与个性化教学智能体。智慧管理方向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完善自治区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盟市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旗县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（市、区）—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学校四级联动智慧教育平台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推进教育治理、校园管理与政务服务数字化、智能化、协同化。智慧评价方向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建立基于大数据与人工智能的全过程伴随式评价体系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实现教学效果精准量化、教育质量动态监测。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自治区教育厅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.优化基本养老服务供给。慢病服务方向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支持便携式康复仪器应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</w:rPr>
        <w:t>用与远程诊疗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</w:rPr>
        <w:t>实现慢病精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准干预。居家安全照护方向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依托自治区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数字民政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幸福养老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智慧养老信息平台为失能老人部署智能床垫、防跌倒警报器等设备。情感关怀方向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开发汉语、蒙古语双语情感陪护机器人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提升养老服务质量与温度。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自治区民政厅、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卫生健康委）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（五）“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人工智能+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治理能力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.加强重要生态系统保护和修复。打造全国一流的智能生态治理样板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筑牢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国北方重要生态安全屏障。生态感知监测方向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支持卫星遥感、无人机、物联网与人工智能机器视觉技术融合应用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构建森林、草原、湿地、濒危物种等空天地一体化监测网络。生态问题诊断方向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基于多源监测数据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开展生态修复区划、退化成因分析、灾害风险模拟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生成精准治理决策依据。生态治理方向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，强化人工智能应用，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在黄河流域、大兴安岭林区、荒漠化草原等区域开展山水林田湖草沙一体化保护和修复重大工程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与智能监管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打造标杆型人工智能生态治理解决方案。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自治区自然资源厅、林草局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.加强重点领域风险防控。提升安全风险的智能感知与应急处置能力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筑牢祖国北疆安全稳定屏障。高危行业监管方向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支持人工智能在煤炭、化工等安全监管中的融合应用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实现风险动态感知与预警。自然灾害防控方向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强化森林草原防火智能监测预警、地震灾害监测、应急救援调度、防汛抗旱减灾决策支撑能力。城乡公共安全方向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，提升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监测预警、监管执法等场景智能化水平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实现对社区公共安全风险的智能感知与管理。应急指挥决策方向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推动人工智能赋能指挥决策、资源调度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完善社会公共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</w:rPr>
        <w:t>服务协同响应机制。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sz w:val="32"/>
          <w:szCs w:val="32"/>
        </w:rPr>
        <w:t>自治区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sz w:val="32"/>
          <w:szCs w:val="32"/>
          <w:lang w:eastAsia="zh-CN"/>
        </w:rPr>
        <w:t>应急管理厅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sz w:val="32"/>
          <w:szCs w:val="32"/>
        </w:rPr>
        <w:t>、公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安厅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内蒙古地震局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.提升城乡治理效能。城市运行智能化方向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推动市政基础设施智能化改造升级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探索面向新一代智能终端发展的城市规划、建设与治理。乡村智能普惠方向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加快人工智能产品和服务向乡村延伸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推动公共服务资源数字化均衡配置。政务服务方向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深化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政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</w:rPr>
        <w:t>务大模型在智能客服、辅助审批和舆情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研判等方面应用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助力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高效办成一件事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提质增效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。招投标方向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推动人工智能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智能评标、文件检测、围串标识别及智慧监管等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全流程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应用。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住房城乡建设厅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政务服务与数据管理局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卫生健康委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、教育厅、公共资源交易中心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（六）“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人工智能+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开放合作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拓展开放合作新空间。区域协同方向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深化与京津冀、长三角、大湾区等地区的产业对接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协同创新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构建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</w:rPr>
        <w:t>常态化、多层级合作机制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</w:rPr>
        <w:t>推动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人工智能技术、人才、数据等要素流动。国际合作方向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深度融入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数字丝绸之路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支持区内算力服务、数据标注、装备制造等优势企业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走出去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探索开展数据跨境服务。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自治区商务厅、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政务服务与数据管理局）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三、强化基础支撑能力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公共服务便捷普惠。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建设自治区人工智能公共服务平台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培育人工智能应用服务商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为企业提供人工智能咨询诊断与需求匹配服务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推广复制典型应用场景。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政务服务与数据管理局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、科技厅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各行业主管部门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数据要素高效流通。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加快推进公共数据资源的体系化治理与市场化应用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释放数据要素价值潜能。建立健全数据基础制度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推动重点行业公共数据依法合规开放共享。引育一批具备数据清洗、标注、脱敏、建模能力的专业服务商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打造高水平数据产业集聚区。建设一批行业高质量数据集。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政务服务与数据管理局，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各行业主管部门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绿色算力稳定供给。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建设全国领先的绿色智能算力保障基地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持续提升智能算力规模。开展算力一体化交易调度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实现异构算力资源的统一管理和智能调配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推动算力普惠易用。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政务服务与数据管理局）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安全保障自主可控。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建立分级分类管理机制和安全评测标准。鼓励企业开发网络和数据风险监测平台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完善数据安全漏洞、隐私泄露等风险监测体系。引导依法依规使用人工智能生成内容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加强个人隐私、知识产权和秘密信息保护。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自治区党委网信办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、政务服务与数据管理局）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复合人才持续供给。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推进人工智能通识教育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完善学科专业布局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加大高层次人才培养力度。举办人工智能应用能力大赛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成立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全区职业教育人工智能应用联盟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。加强数字化职业技能培训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鼓励校企共建产教融合实训基地。加强就业趋势分析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挖掘新就业岗位。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责任单位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自治区教育厅、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人力资源社会保障厅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政务服务与数据管理局）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建立自治区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人工智能+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协同推进机制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依托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现有产业政策和资金政策对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人工智能+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项目、优秀解决方案和公共服务平台等给予支持。鼓励产业基金、金融机构加大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对企业人工智能应用项目的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信贷和股权投资支持。强化企业在技术创新与场景应用中的主体地位。搭建产学研用交流平台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加快生态构建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bookmarkStart w:id="5" w:name="_GoBack"/>
      <w:bookmarkEnd w:id="5"/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tbl>
      <w:tblPr>
        <w:tblStyle w:val="9"/>
        <w:tblW w:w="8947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抄送：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1148" w:firstLineChars="410"/>
              <w:textAlignment w:val="auto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自治区人大常委会办公厅，自治区政协办公厅，自治区监委，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1148" w:firstLineChars="410"/>
              <w:textAlignment w:val="auto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自治区高级人民法院，自治区人民检察院。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1148" w:firstLineChars="410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各民主党派区委会，各人民团体，新闻单位。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157" w:afterLines="50" w:line="58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内蒙古自治区人民政府办公厅文电处    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</w:rPr>
              <w:t xml:space="preserve">  202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  <w:bookmarkStart w:id="3" w:name="成文日期"/>
      <w:bookmarkEnd w:id="3"/>
      <w:r>
        <w:rPr>
          <w:rFonts w:ascii="宋体" w:hAnsi="宋体" w:cs="宋体"/>
          <w:kern w:val="0"/>
          <w:sz w:val="24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4" w:name="二维条码"/>
                            <w:bookmarkEnd w:id="4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24635" cy="432435"/>
                                  <wp:effectExtent l="0" t="0" r="18415" b="5715"/>
                                  <wp:docPr id="2" name="图片 3" descr="C:\Users\Administrator\Desktop\NZF11.jpgNZF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C:\Users\Administrator\Desktop\NZF11.jpgNZF1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635" cy="432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eOlH4r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4" w:name="二维条码"/>
                      <w:bookmarkEnd w:id="4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524635" cy="432435"/>
                            <wp:effectExtent l="0" t="0" r="18415" b="5715"/>
                            <wp:docPr id="2" name="图片 3" descr="C:\Users\Administrator\Desktop\NZF11.jpgNZF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C:\Users\Administrator\Desktop\NZF11.jpgNZF1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635" cy="432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452" w:y="-23"/>
      <w:rPr>
        <w:rStyle w:val="12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2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892" w:y="-23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E7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284C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85643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515D"/>
    <w:rsid w:val="001106F2"/>
    <w:rsid w:val="00110B09"/>
    <w:rsid w:val="001116CA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B89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47A06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083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04F2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141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07DE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21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47F6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68A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13F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02E7"/>
    <w:rsid w:val="0063404D"/>
    <w:rsid w:val="00637C57"/>
    <w:rsid w:val="00640710"/>
    <w:rsid w:val="00642967"/>
    <w:rsid w:val="00643C82"/>
    <w:rsid w:val="00650291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2BD"/>
    <w:rsid w:val="007566F0"/>
    <w:rsid w:val="00756F77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1BE0"/>
    <w:rsid w:val="00904292"/>
    <w:rsid w:val="00910626"/>
    <w:rsid w:val="00910AC9"/>
    <w:rsid w:val="0091236B"/>
    <w:rsid w:val="009135EF"/>
    <w:rsid w:val="00913DB1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192"/>
    <w:rsid w:val="00A03333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2ED"/>
    <w:rsid w:val="00A42363"/>
    <w:rsid w:val="00A42678"/>
    <w:rsid w:val="00A44782"/>
    <w:rsid w:val="00A51056"/>
    <w:rsid w:val="00A52ADA"/>
    <w:rsid w:val="00A54A96"/>
    <w:rsid w:val="00A55F01"/>
    <w:rsid w:val="00A5779D"/>
    <w:rsid w:val="00A57AB0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5F2C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62CF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8DD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3D1C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1A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6480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20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A7412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646"/>
    <w:rsid w:val="00ED7EF1"/>
    <w:rsid w:val="00EE610D"/>
    <w:rsid w:val="00EE6A58"/>
    <w:rsid w:val="00EF5668"/>
    <w:rsid w:val="00EF59D3"/>
    <w:rsid w:val="00EF7BA0"/>
    <w:rsid w:val="00F00288"/>
    <w:rsid w:val="00F017E0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045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15"/>
    <w:rsid w:val="00FF2340"/>
    <w:rsid w:val="00FF60C7"/>
    <w:rsid w:val="00FF7392"/>
    <w:rsid w:val="01F66FEE"/>
    <w:rsid w:val="02CA179F"/>
    <w:rsid w:val="06F077A7"/>
    <w:rsid w:val="0F6E701B"/>
    <w:rsid w:val="116B1E33"/>
    <w:rsid w:val="12227ABB"/>
    <w:rsid w:val="14CC7854"/>
    <w:rsid w:val="15E93F72"/>
    <w:rsid w:val="1A3A4DBC"/>
    <w:rsid w:val="1B9B3DF1"/>
    <w:rsid w:val="1DD11934"/>
    <w:rsid w:val="1ED24BFE"/>
    <w:rsid w:val="1F48029C"/>
    <w:rsid w:val="20E315A3"/>
    <w:rsid w:val="21A94800"/>
    <w:rsid w:val="2866350C"/>
    <w:rsid w:val="288C7D6B"/>
    <w:rsid w:val="28B640A0"/>
    <w:rsid w:val="29E932CC"/>
    <w:rsid w:val="2BAD69DC"/>
    <w:rsid w:val="2D7BF895"/>
    <w:rsid w:val="2E84799A"/>
    <w:rsid w:val="338A1A32"/>
    <w:rsid w:val="33C56907"/>
    <w:rsid w:val="35233C0E"/>
    <w:rsid w:val="370A6D13"/>
    <w:rsid w:val="37C63E40"/>
    <w:rsid w:val="38B135ED"/>
    <w:rsid w:val="39FF2E87"/>
    <w:rsid w:val="3AFD41C9"/>
    <w:rsid w:val="3D7A6535"/>
    <w:rsid w:val="3EDB0917"/>
    <w:rsid w:val="3F5E7FEA"/>
    <w:rsid w:val="458A5715"/>
    <w:rsid w:val="499F0266"/>
    <w:rsid w:val="4A28753D"/>
    <w:rsid w:val="4B4F7E57"/>
    <w:rsid w:val="4C134A8D"/>
    <w:rsid w:val="4D17452B"/>
    <w:rsid w:val="4F3AC865"/>
    <w:rsid w:val="52DD46DC"/>
    <w:rsid w:val="5A983BCF"/>
    <w:rsid w:val="5C16B510"/>
    <w:rsid w:val="5C4A2FDE"/>
    <w:rsid w:val="5CF9785C"/>
    <w:rsid w:val="63F776BF"/>
    <w:rsid w:val="67FB8AD0"/>
    <w:rsid w:val="6A1C2667"/>
    <w:rsid w:val="6A87E4BF"/>
    <w:rsid w:val="6CB344D0"/>
    <w:rsid w:val="6D5A6269"/>
    <w:rsid w:val="6D626440"/>
    <w:rsid w:val="6DFA1037"/>
    <w:rsid w:val="6E632671"/>
    <w:rsid w:val="6EA77043"/>
    <w:rsid w:val="6ECF23D3"/>
    <w:rsid w:val="75765346"/>
    <w:rsid w:val="77302C58"/>
    <w:rsid w:val="77882560"/>
    <w:rsid w:val="77FF68DB"/>
    <w:rsid w:val="790C3003"/>
    <w:rsid w:val="7957B384"/>
    <w:rsid w:val="7A75FF4C"/>
    <w:rsid w:val="7D5B4B8B"/>
    <w:rsid w:val="7E915B9B"/>
    <w:rsid w:val="7EC78460"/>
    <w:rsid w:val="7EF885A3"/>
    <w:rsid w:val="7FE9CF82"/>
    <w:rsid w:val="96E97648"/>
    <w:rsid w:val="9F7304D0"/>
    <w:rsid w:val="AF4F85E3"/>
    <w:rsid w:val="B6FE9A5D"/>
    <w:rsid w:val="B7EA87B5"/>
    <w:rsid w:val="C3F3AE5C"/>
    <w:rsid w:val="CE5FF4B5"/>
    <w:rsid w:val="D2F8D867"/>
    <w:rsid w:val="D67BD10B"/>
    <w:rsid w:val="D7F723A8"/>
    <w:rsid w:val="DA7E1172"/>
    <w:rsid w:val="E83A8769"/>
    <w:rsid w:val="E97B20F6"/>
    <w:rsid w:val="EFF35B8F"/>
    <w:rsid w:val="EFF55856"/>
    <w:rsid w:val="F1F71A2F"/>
    <w:rsid w:val="F3EE226E"/>
    <w:rsid w:val="FABC5066"/>
    <w:rsid w:val="FBBFE62A"/>
    <w:rsid w:val="FD7FBE0C"/>
    <w:rsid w:val="FED5F483"/>
    <w:rsid w:val="FFDF4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Date"/>
    <w:basedOn w:val="1"/>
    <w:next w:val="1"/>
    <w:link w:val="14"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 w:cs="Times New Roman"/>
      <w:b/>
      <w:sz w:val="32"/>
      <w:szCs w:val="24"/>
      <w:lang w:bidi="ar-SA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uiPriority w:val="0"/>
  </w:style>
  <w:style w:type="paragraph" w:customStyle="1" w:styleId="13">
    <w:name w:val="标准中文版式_正文"/>
    <w:basedOn w:val="1"/>
    <w:qFormat/>
    <w:uiPriority w:val="0"/>
    <w:pPr>
      <w:suppressAutoHyphens/>
      <w:bidi w:val="0"/>
      <w:spacing w:before="30" w:line="360" w:lineRule="auto"/>
      <w:ind w:firstLine="200"/>
    </w:pPr>
    <w:rPr>
      <w:rFonts w:ascii="Arial" w:hAnsi="Arial" w:eastAsia="宋体" w:cs="Times New Roman"/>
      <w:color w:val="auto"/>
      <w:sz w:val="24"/>
      <w:szCs w:val="24"/>
      <w:lang w:bidi="ar-SA"/>
    </w:rPr>
  </w:style>
  <w:style w:type="character" w:customStyle="1" w:styleId="14">
    <w:name w:val=" Char Char1"/>
    <w:basedOn w:val="11"/>
    <w:link w:val="4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5">
    <w:name w:val="页脚 Char"/>
    <w:link w:val="6"/>
    <w:qFormat/>
    <w:uiPriority w:val="99"/>
    <w:rPr>
      <w:rFonts w:ascii="Times New Roman" w:hAnsi="Times New Roman" w:eastAsia="宋体" w:cs="Times New Roman"/>
      <w:kern w:val="2"/>
      <w:sz w:val="18"/>
      <w:szCs w:val="22"/>
    </w:rPr>
  </w:style>
  <w:style w:type="character" w:customStyle="1" w:styleId="16">
    <w:name w:val="页眉 Char"/>
    <w:link w:val="7"/>
    <w:qFormat/>
    <w:uiPriority w:val="99"/>
    <w:rPr>
      <w:rFonts w:ascii="Times New Roman" w:hAnsi="Times New Roman" w:eastAsia="宋体" w:cs="Times New Roman"/>
      <w:kern w:val="2"/>
      <w:sz w:val="18"/>
      <w:szCs w:val="22"/>
    </w:rPr>
  </w:style>
  <w:style w:type="character" w:customStyle="1" w:styleId="17">
    <w:name w:val=" Char Char2"/>
    <w:basedOn w:val="11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8">
    <w:name w:val=" Char Char"/>
    <w:basedOn w:val="11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79</Characters>
  <Lines>1</Lines>
  <Paragraphs>1</Paragraphs>
  <TotalTime>3</TotalTime>
  <ScaleCrop>false</ScaleCrop>
  <LinksUpToDate>false</LinksUpToDate>
  <CharactersWithSpaces>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2012-09-19T13:07:00Z</dcterms:created>
  <dc:creator>王蕾:打印</dc:creator>
  <cp:lastModifiedBy>哈斯高娃:通知发起人</cp:lastModifiedBy>
  <cp:lastPrinted>2026-04-02T14:49:21Z</cp:lastPrinted>
  <dcterms:modified xsi:type="dcterms:W3CDTF">2026-04-08T02:30:26Z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